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Valparaíso, 2 de agosto de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PÚBLICA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Parlamentarios y parlamentarias de oposición que integramos las Comisiones de Derechos Humanos del Senado y de la Cámara de Diputados y Diputadas suscribimos la presente declaración:</w:t>
      </w:r>
    </w:p>
    <w:p w:rsidR="00000000" w:rsidDel="00000000" w:rsidP="00000000" w:rsidRDefault="00000000" w:rsidRPr="00000000" w14:paraId="0000000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En relación a los hechos de público conocimiento ocurridos en la Araucanía durante los días sábados 1 y domingo 2 agosto, especialmente en las comunas de Collipulli, Ercilla, Traiguén y Curacautín, donde se produjeron actos de violencia y racismo ocurridos en el contexto de la ocupación de municipios. Situación producida a raíz de las personas del pueblo mapuche privadas de libertad, que se encuentran en huelga de hambre. </w:t>
        <w:br w:type="textWrapping"/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Señalamos lo siguiente: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Condenamos los actos de violencia y racismo realizados por particulares. Es  inaceptable que grupos particulares hagan uso de la fuerza y realicen actos de desalojo. </w:t>
      </w:r>
    </w:p>
    <w:p w:rsidR="00000000" w:rsidDel="00000000" w:rsidP="00000000" w:rsidRDefault="00000000" w:rsidRPr="00000000" w14:paraId="0000000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Nuestra Constitución Política impone al Estado el deber de reconocer a los grupos en que se organiza y estructura la sociedad, indicando que no podrá haber ningún grupo privilegiado. </w:t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En el derecho internacional, la no discriminación, junto con la igualdad ante la ley y la igual protección de la ley y la no discriminación, constituyen principios básicos y generales de los derechos humanos.Consideramos inaceptable cualquier trato denigratorio, expresiones racistas o denigratorias realizadas hacia el pueblo mapuche en los actos de desalojo llevados a cabo por grupos particulares durante la noche de ayer y la madrugada de hoy. La igualdad es inseparable de la dignidad esencial de la persona y es incompatible con tratos discriminatorios de privilegio o inferioridad. Esto se encuentra reconocido en la Declaración Universal de Derechos Humanos, el Pacto Internacional de los Derechos Civiles y Políticos y el Pacto de los Derechos Económicos Sociales y Culturales, entre otros.</w:t>
      </w:r>
    </w:p>
    <w:p w:rsidR="00000000" w:rsidDel="00000000" w:rsidP="00000000" w:rsidRDefault="00000000" w:rsidRPr="00000000" w14:paraId="0000001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La Convención Internacional para la Eliminación de Todas las Formas de Discriminación Racial obliga a los estados que son parte (Chile lo es), a condenar </w:t>
      </w:r>
      <w:r w:rsidDel="00000000" w:rsidR="00000000" w:rsidRPr="00000000">
        <w:rPr>
          <w:highlight w:val="white"/>
          <w:rtl w:val="0"/>
        </w:rPr>
        <w:t xml:space="preserve">toda la propaganda y todas las organizaciones que se inspiren en ideas o teorías basadas en la superioridad de una raza o de un grupo de personas de un determinado color u origen étnico, o que pretendan justificar o promover el odio racial y la discriminación racial, cualquiera que sea su forma y se comprometen a tomar medidas inmediatas y positivas destinadas a eliminar toda incitación a tal discriminación o actos de tal discriminación. La Declaración de las Naciones Unidas sobre los Derechos de los Pueblos Indígenas, suscrita por Chile, </w:t>
      </w:r>
      <w:r w:rsidDel="00000000" w:rsidR="00000000" w:rsidRPr="00000000">
        <w:rPr>
          <w:rtl w:val="0"/>
        </w:rPr>
        <w:t xml:space="preserve">señala que los pueblos y los individuos indígenas son libres e iguales a todos los demás pueblos y personas y tienen derecho a no ser objeto de ningún tipo de discriminación en el ejercicio de sus derechos, en particular la fundada en su origen o identidad indígenas. 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En el Párrafo 7 de la Recomendación General Nº 35 del Comité para la Eliminación de la Discriminación Racial referida a La Lucha contra el discurso de odio racista, se indica que: “Los principios articulados en la presente recomendación se aplican al discurso de odio racista, proferido por individuos o por grupos, en cualquier forma en que se manifieste, oralmente o en forma impresa, o difundido a través de medios electrónicos como Internet y los sitios de redes sociales, así como mediante formas de expresión no verbales, como la exhibición de símbolos, imágenes y comportamientos racistas en reuniones públicas, incluidos los eventos deportivos.” 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Ante la escalada de violencia ocurrida durante las últimas horas, solicitamos la urgente realización de una instancia de diálogo entre el Gobierno y los voceros de la huelga del pueblo mapuche, en aras de buscar acercamientos y soluciones que permitan dar una salida pacífica al conflicto. Instamos al Ministro de Justicia a abrir una instancia de diálogo, sin intermediarios.</w:t>
      </w:r>
    </w:p>
    <w:p w:rsidR="00000000" w:rsidDel="00000000" w:rsidP="00000000" w:rsidRDefault="00000000" w:rsidRPr="00000000" w14:paraId="0000001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Emplazamos a que, ante la situación de huelga de hambre de los presos mapuche,  se aplique de manera inmediata el Convenio 169 de la OIT, especialmente su artículo 10: que establece la obligación de los Estados a que, al imponer sanciones penales previstas por la legislación general a miembros de pueblos indígenas,  se tengan en cuenta sus características económicas, sociales y culturales, así como preferir sanciones distintas al encarcelamiento. </w:t>
      </w:r>
    </w:p>
    <w:p w:rsidR="00000000" w:rsidDel="00000000" w:rsidP="00000000" w:rsidRDefault="00000000" w:rsidRPr="00000000" w14:paraId="0000001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Manifestamos nuestro mayor compromiso e interés porque se busque una salida pacífica al conflicto. Las autoridades políticas deben actuar con la mayor cautela y responsabilidad, debiendo contribuir a acercar posiciones en la búsqueda de soluciones y no realizando acciones o declaraciones que incrementen la escalada de violencia y actitudes de violencia racista hacia el pueblo mapuche. 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Invitamos al Gobierno a través de su Ministro del Interior, a retomar a la mayor brevedad posible instancias de diálogo con las personas privadas de libertad del pueblo mapuche que se encuentran en huelga de hambre. La vía del diálogo y no la de la escalada de violencia, es el camino que permitirá dar soluciones que contribuyan a la paz social y al respeto del pueblo Mapuche.</w:t>
      </w:r>
    </w:p>
    <w:p w:rsidR="00000000" w:rsidDel="00000000" w:rsidP="00000000" w:rsidRDefault="00000000" w:rsidRPr="00000000" w14:paraId="0000001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Senadora Adriana Muñoz, Presidenta del Senado</w:t>
      </w:r>
    </w:p>
    <w:p w:rsidR="00000000" w:rsidDel="00000000" w:rsidP="00000000" w:rsidRDefault="00000000" w:rsidRPr="00000000" w14:paraId="0000001E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Senador Juan Ignacio Latorre, Presidente Comisión DDHH Senado</w:t>
      </w:r>
    </w:p>
    <w:p w:rsidR="00000000" w:rsidDel="00000000" w:rsidP="00000000" w:rsidRDefault="00000000" w:rsidRPr="00000000" w14:paraId="0000001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Alejandro Navarro </w:t>
      </w:r>
    </w:p>
    <w:p w:rsidR="00000000" w:rsidDel="00000000" w:rsidP="00000000" w:rsidRDefault="00000000" w:rsidRPr="00000000" w14:paraId="0000002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Diputada Emilia Nuyado, Presidenta Comisión DDHH Cámara de Diputadas y Diputados</w:t>
      </w:r>
    </w:p>
    <w:p w:rsidR="00000000" w:rsidDel="00000000" w:rsidP="00000000" w:rsidRDefault="00000000" w:rsidRPr="00000000" w14:paraId="00000021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Diputada Carmen Hertz  </w:t>
      </w:r>
    </w:p>
    <w:p w:rsidR="00000000" w:rsidDel="00000000" w:rsidP="00000000" w:rsidRDefault="00000000" w:rsidRPr="00000000" w14:paraId="0000002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Miguel Crispi </w:t>
      </w:r>
    </w:p>
    <w:p w:rsidR="00000000" w:rsidDel="00000000" w:rsidP="00000000" w:rsidRDefault="00000000" w:rsidRPr="00000000" w14:paraId="0000002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Tucapel Jimenez </w:t>
      </w:r>
    </w:p>
    <w:p w:rsidR="00000000" w:rsidDel="00000000" w:rsidP="00000000" w:rsidRDefault="00000000" w:rsidRPr="00000000" w14:paraId="0000002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Raúl Saldívar </w:t>
      </w:r>
    </w:p>
    <w:p w:rsidR="00000000" w:rsidDel="00000000" w:rsidP="00000000" w:rsidRDefault="00000000" w:rsidRPr="00000000" w14:paraId="00000025">
      <w:pPr>
        <w:ind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Diputada Camila Vallejos </w:t>
      </w:r>
    </w:p>
    <w:p w:rsidR="00000000" w:rsidDel="00000000" w:rsidP="00000000" w:rsidRDefault="00000000" w:rsidRPr="00000000" w14:paraId="00000026">
      <w:pPr>
        <w:ind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Diputado Rodrigo Gonzalez</w:t>
      </w:r>
    </w:p>
    <w:p w:rsidR="00000000" w:rsidDel="00000000" w:rsidP="00000000" w:rsidRDefault="00000000" w:rsidRPr="00000000" w14:paraId="0000002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Adhieren otros parlamentarios:</w:t>
      </w:r>
    </w:p>
    <w:p w:rsidR="00000000" w:rsidDel="00000000" w:rsidP="00000000" w:rsidRDefault="00000000" w:rsidRPr="00000000" w14:paraId="0000002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Diputada Natalia Castillo Muñoz </w:t>
      </w:r>
    </w:p>
    <w:p w:rsidR="00000000" w:rsidDel="00000000" w:rsidP="00000000" w:rsidRDefault="00000000" w:rsidRPr="00000000" w14:paraId="0000002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Diputada Claudia Mix Jiménez </w:t>
      </w:r>
    </w:p>
    <w:p w:rsidR="00000000" w:rsidDel="00000000" w:rsidP="00000000" w:rsidRDefault="00000000" w:rsidRPr="00000000" w14:paraId="0000002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Diputada Camila Vallejo Dowling</w:t>
      </w:r>
    </w:p>
    <w:p w:rsidR="00000000" w:rsidDel="00000000" w:rsidP="00000000" w:rsidRDefault="00000000" w:rsidRPr="00000000" w14:paraId="0000002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Marcelo Díaz Díaz</w:t>
      </w:r>
    </w:p>
    <w:p w:rsidR="00000000" w:rsidDel="00000000" w:rsidP="00000000" w:rsidRDefault="00000000" w:rsidRPr="00000000" w14:paraId="0000002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Gabriel Boric Font</w:t>
      </w:r>
    </w:p>
    <w:p w:rsidR="00000000" w:rsidDel="00000000" w:rsidP="00000000" w:rsidRDefault="00000000" w:rsidRPr="00000000" w14:paraId="0000002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Rodrigo González </w:t>
      </w:r>
    </w:p>
    <w:p w:rsidR="00000000" w:rsidDel="00000000" w:rsidP="00000000" w:rsidRDefault="00000000" w:rsidRPr="00000000" w14:paraId="0000002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Senadora Ximena Órdenes </w:t>
      </w:r>
    </w:p>
    <w:p w:rsidR="00000000" w:rsidDel="00000000" w:rsidP="00000000" w:rsidRDefault="00000000" w:rsidRPr="00000000" w14:paraId="0000002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Diputada Gael Yeomans Araya</w:t>
      </w:r>
    </w:p>
    <w:p w:rsidR="00000000" w:rsidDel="00000000" w:rsidP="00000000" w:rsidRDefault="00000000" w:rsidRPr="00000000" w14:paraId="0000003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Pablo Vidal Rojas</w:t>
      </w:r>
    </w:p>
    <w:p w:rsidR="00000000" w:rsidDel="00000000" w:rsidP="00000000" w:rsidRDefault="00000000" w:rsidRPr="00000000" w14:paraId="0000003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Gonzalo Winter Etcheberry</w:t>
      </w:r>
    </w:p>
    <w:p w:rsidR="00000000" w:rsidDel="00000000" w:rsidP="00000000" w:rsidRDefault="00000000" w:rsidRPr="00000000" w14:paraId="0000003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Diputada Camila Rojas</w:t>
      </w:r>
    </w:p>
    <w:p w:rsidR="00000000" w:rsidDel="00000000" w:rsidP="00000000" w:rsidRDefault="00000000" w:rsidRPr="00000000" w14:paraId="0000003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Diputada Maite Orsini</w:t>
      </w:r>
    </w:p>
    <w:p w:rsidR="00000000" w:rsidDel="00000000" w:rsidP="00000000" w:rsidRDefault="00000000" w:rsidRPr="00000000" w14:paraId="0000003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Diego Ibáñez</w:t>
      </w:r>
    </w:p>
    <w:p w:rsidR="00000000" w:rsidDel="00000000" w:rsidP="00000000" w:rsidRDefault="00000000" w:rsidRPr="00000000" w14:paraId="0000003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Diputada Catalina Perez</w:t>
      </w:r>
    </w:p>
    <w:p w:rsidR="00000000" w:rsidDel="00000000" w:rsidP="00000000" w:rsidRDefault="00000000" w:rsidRPr="00000000" w14:paraId="0000003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Jorge Brito</w:t>
      </w:r>
    </w:p>
    <w:p w:rsidR="00000000" w:rsidDel="00000000" w:rsidP="00000000" w:rsidRDefault="00000000" w:rsidRPr="00000000" w14:paraId="0000003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Diputado Giorgio Jackson</w:t>
      </w:r>
    </w:p>
    <w:p w:rsidR="00000000" w:rsidDel="00000000" w:rsidP="00000000" w:rsidRDefault="00000000" w:rsidRPr="00000000" w14:paraId="0000003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Juan Pablo Letelier </w:t>
      </w:r>
    </w:p>
    <w:p w:rsidR="00000000" w:rsidDel="00000000" w:rsidP="00000000" w:rsidRDefault="00000000" w:rsidRPr="00000000" w14:paraId="0000003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Guido Guirardi</w:t>
      </w:r>
    </w:p>
    <w:p w:rsidR="00000000" w:rsidDel="00000000" w:rsidP="00000000" w:rsidRDefault="00000000" w:rsidRPr="00000000" w14:paraId="0000003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Rabindranath Quinteros </w:t>
      </w:r>
    </w:p>
    <w:p w:rsidR="00000000" w:rsidDel="00000000" w:rsidP="00000000" w:rsidRDefault="00000000" w:rsidRPr="00000000" w14:paraId="0000003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Álvaro Elizalde</w:t>
      </w:r>
    </w:p>
    <w:p w:rsidR="00000000" w:rsidDel="00000000" w:rsidP="00000000" w:rsidRDefault="00000000" w:rsidRPr="00000000" w14:paraId="0000003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Senadora Isabel Allende</w:t>
      </w:r>
    </w:p>
    <w:p w:rsidR="00000000" w:rsidDel="00000000" w:rsidP="00000000" w:rsidRDefault="00000000" w:rsidRPr="00000000" w14:paraId="0000003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Senadora Yasna Provoste</w:t>
      </w:r>
    </w:p>
    <w:p w:rsidR="00000000" w:rsidDel="00000000" w:rsidP="00000000" w:rsidRDefault="00000000" w:rsidRPr="00000000" w14:paraId="0000003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Carlos Montes </w:t>
      </w:r>
    </w:p>
    <w:p w:rsidR="00000000" w:rsidDel="00000000" w:rsidP="00000000" w:rsidRDefault="00000000" w:rsidRPr="00000000" w14:paraId="0000003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José Miguel Insulza</w:t>
      </w:r>
    </w:p>
    <w:p w:rsidR="00000000" w:rsidDel="00000000" w:rsidP="00000000" w:rsidRDefault="00000000" w:rsidRPr="00000000" w14:paraId="0000004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Jaime Quintana </w:t>
      </w:r>
    </w:p>
    <w:p w:rsidR="00000000" w:rsidDel="00000000" w:rsidP="00000000" w:rsidRDefault="00000000" w:rsidRPr="00000000" w14:paraId="0000004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Ricardo Lagos </w:t>
      </w:r>
    </w:p>
    <w:p w:rsidR="00000000" w:rsidDel="00000000" w:rsidP="00000000" w:rsidRDefault="00000000" w:rsidRPr="00000000" w14:paraId="0000004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Alfonso De Urresti</w:t>
      </w:r>
    </w:p>
    <w:p w:rsidR="00000000" w:rsidDel="00000000" w:rsidP="00000000" w:rsidRDefault="00000000" w:rsidRPr="00000000" w14:paraId="0000004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Senador Carlos Bianchi</w:t>
      </w:r>
    </w:p>
    <w:p w:rsidR="00000000" w:rsidDel="00000000" w:rsidP="00000000" w:rsidRDefault="00000000" w:rsidRPr="00000000" w14:paraId="00000044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